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media/image1.png" ContentType="image/png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numPr>
          <w:ilvl w:val="0"/>
          <w:numId w:val="0"/>
        </w:numPr>
        <w:suppressLineNumbers w:val="0"/>
        <w:spacing w:lineRule="auto" w:line="276" w:before="0" w:after="0"/>
        <w:ind w:hanging="0" w:left="0"/>
        <w:jc w:val="both"/>
        <w:outlineLvl w:val="2"/>
        <w:rPr>
          <w:rFonts w:ascii="Times New Roman" w:hAnsi="Times New Roman" w:cs="Times New Roman"/>
          <w:b/>
          <w:bCs/>
        </w:rPr>
      </w:pPr>
      <w:r>
        <w:rPr>
          <w:rFonts w:cs="Times New Roman" w:ascii="Times New Roman" w:hAnsi="Times New Roman"/>
          <w:b/>
          <w:bCs/>
        </w:rPr>
        <w:drawing>
          <wp:anchor behindDoc="0" distT="0" distB="0" distL="0" distR="0" simplePos="0" locked="0" layoutInCell="0" allowOverlap="1" relativeHeight="2">
            <wp:simplePos x="0" y="0"/>
            <wp:positionH relativeFrom="margin">
              <wp:posOffset>0</wp:posOffset>
            </wp:positionH>
            <wp:positionV relativeFrom="paragraph">
              <wp:posOffset>-591185</wp:posOffset>
            </wp:positionV>
            <wp:extent cx="1857375" cy="581025"/>
            <wp:effectExtent l="0" t="0" r="0" b="0"/>
            <wp:wrapNone/>
            <wp:docPr id="1" name="Рисунок 2" descr="cid:image001.png@01D51F9F.BAFAFE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cid:image001.png@01D51F9F.BAFAFE10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pStyle w:val="Normal"/>
        <w:suppressLineNumbers w:val="0"/>
        <w:spacing w:lineRule="auto" w:line="276" w:before="0" w:after="0"/>
        <w:jc w:val="center"/>
        <w:rPr>
          <w:rFonts w:ascii="Times New Roman" w:hAnsi="Times New Roman" w:cs="Times New Roman"/>
          <w:b/>
          <w:color w:val="0070C0"/>
          <w:sz w:val="26"/>
          <w:szCs w:val="26"/>
        </w:rPr>
      </w:pPr>
      <w:r>
        <w:rPr>
          <w:rFonts w:cs="Times New Roman" w:ascii="Times New Roman" w:hAnsi="Times New Roman"/>
          <w:b/>
          <w:color w:val="0070C0"/>
          <w:sz w:val="26"/>
          <w:szCs w:val="26"/>
        </w:rPr>
      </w:r>
    </w:p>
    <w:p>
      <w:pPr>
        <w:pStyle w:val="Normal"/>
        <w:suppressLineNumbers w:val="0"/>
        <w:spacing w:lineRule="auto" w:line="276" w:before="0" w:after="0"/>
        <w:jc w:val="center"/>
        <w:rPr>
          <w:rFonts w:ascii="Times New Roman" w:hAnsi="Times New Roman" w:cs="Times New Roman"/>
          <w:b/>
          <w:color w:val="0070C0"/>
          <w:sz w:val="26"/>
          <w:szCs w:val="26"/>
        </w:rPr>
      </w:pPr>
      <w:r>
        <w:rPr>
          <w:rFonts w:eastAsia="Times New Roman" w:cs="Times New Roman" w:ascii="Times New Roman" w:hAnsi="Times New Roman"/>
          <w:b/>
          <w:color w:val="0070C0"/>
          <w:sz w:val="26"/>
          <w:szCs w:val="26"/>
        </w:rPr>
        <w:t xml:space="preserve">ПОЯСНИТЕЛЬНАЯ ЗАПИСКА </w:t>
      </w:r>
    </w:p>
    <w:p>
      <w:pPr>
        <w:pStyle w:val="Normal"/>
        <w:suppressLineNumbers w:val="0"/>
        <w:spacing w:lineRule="auto" w:line="276" w:before="0" w:after="0"/>
        <w:jc w:val="center"/>
        <w:rPr>
          <w:rFonts w:ascii="Times New Roman" w:hAnsi="Times New Roman" w:cs="Times New Roman"/>
          <w:b/>
          <w:color w:val="0070C0"/>
          <w:sz w:val="26"/>
          <w:szCs w:val="26"/>
        </w:rPr>
      </w:pPr>
      <w:r>
        <w:rPr>
          <w:rFonts w:eastAsia="Times New Roman" w:cs="Times New Roman" w:ascii="Times New Roman" w:hAnsi="Times New Roman"/>
          <w:b/>
          <w:color w:val="0070C0"/>
          <w:sz w:val="26"/>
          <w:szCs w:val="26"/>
        </w:rPr>
        <w:t xml:space="preserve">И ПРОЕКТ РЕШЕНИЯ ОБЩЕГО СОБРАНИЯ АКЦИОНЕРОВ </w:t>
      </w:r>
    </w:p>
    <w:p>
      <w:pPr>
        <w:pStyle w:val="Normal"/>
        <w:suppressLineNumbers w:val="0"/>
        <w:spacing w:lineRule="auto" w:line="276" w:before="0" w:after="0"/>
        <w:jc w:val="center"/>
        <w:rPr>
          <w:rFonts w:ascii="Times New Roman" w:hAnsi="Times New Roman" w:cs="Times New Roman"/>
          <w:b/>
          <w:color w:val="0070C0"/>
          <w:sz w:val="26"/>
          <w:szCs w:val="26"/>
        </w:rPr>
      </w:pPr>
      <w:r>
        <w:rPr>
          <w:rFonts w:eastAsia="Times New Roman" w:cs="Times New Roman" w:ascii="Times New Roman" w:hAnsi="Times New Roman"/>
          <w:b/>
          <w:color w:val="0070C0"/>
          <w:sz w:val="26"/>
          <w:szCs w:val="26"/>
        </w:rPr>
        <w:t>ПАО «РОССЕТИ ЮГ»</w:t>
      </w:r>
    </w:p>
    <w:p>
      <w:pPr>
        <w:pStyle w:val="Normal"/>
        <w:suppressLineNumbers w:val="0"/>
        <w:spacing w:lineRule="auto" w:line="276" w:before="0" w:after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</w:r>
    </w:p>
    <w:p>
      <w:pPr>
        <w:pStyle w:val="Normal"/>
        <w:suppressLineNumbers w:val="0"/>
        <w:spacing w:lineRule="auto" w:line="276" w:before="0"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eastAsia="Times New Roman" w:cs="Times New Roman" w:ascii="Times New Roman" w:hAnsi="Times New Roman"/>
          <w:b/>
          <w:sz w:val="26"/>
          <w:szCs w:val="26"/>
          <w:u w:val="single"/>
        </w:rPr>
        <w:t>ВОПРОС № 1</w:t>
      </w:r>
      <w:r>
        <w:rPr>
          <w:rFonts w:eastAsia="Times New Roman" w:cs="Times New Roman" w:ascii="Times New Roman" w:hAnsi="Times New Roman"/>
          <w:b/>
          <w:sz w:val="26"/>
          <w:szCs w:val="26"/>
        </w:rPr>
        <w:t>: Об утверждении годового отчета ПАО «Россети Юг» за 2024 год.</w:t>
      </w:r>
    </w:p>
    <w:p>
      <w:pPr>
        <w:pStyle w:val="Normal"/>
        <w:suppressLineNumbers w:val="0"/>
        <w:spacing w:lineRule="auto" w:line="276" w:before="0" w:after="0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cs="Times New Roman" w:ascii="Times New Roman" w:hAnsi="Times New Roman"/>
          <w:bCs/>
          <w:sz w:val="26"/>
          <w:szCs w:val="26"/>
        </w:rPr>
      </w:r>
    </w:p>
    <w:p>
      <w:pPr>
        <w:pStyle w:val="Normal"/>
        <w:suppressLineNumbers w:val="0"/>
        <w:spacing w:lineRule="auto" w:line="276" w:before="0" w:after="0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eastAsia="Times New Roman" w:cs="Times New Roman" w:ascii="Times New Roman" w:hAnsi="Times New Roman"/>
          <w:sz w:val="26"/>
          <w:szCs w:val="26"/>
        </w:rPr>
        <w:t xml:space="preserve">В соответствии со статьей 47 и подпунктом 11 пункта 1 статьи 48 Федерального закона от 26.12.1995 №208-ФЗ «Об акционерных обществах» (далее - Закон), </w:t>
      </w:r>
      <w:r>
        <w:rPr>
          <w:rFonts w:eastAsia="Times New Roman" w:cs="Times New Roman" w:ascii="Times New Roman" w:hAnsi="Times New Roman"/>
          <w:bCs/>
          <w:sz w:val="26"/>
          <w:szCs w:val="26"/>
        </w:rPr>
        <w:t>подпунктом 13 пункта 10.2 статьи 10 Устава Общества к компетенции Общего собрания акционеров относится утверждение годового отчета Общества.</w:t>
      </w:r>
    </w:p>
    <w:p>
      <w:pPr>
        <w:pStyle w:val="Normal"/>
        <w:suppressLineNumbers w:val="0"/>
        <w:spacing w:lineRule="auto" w:line="276" w:before="0"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eastAsia="Times New Roman" w:cs="Times New Roman" w:ascii="Times New Roman" w:hAnsi="Times New Roman"/>
          <w:sz w:val="26"/>
          <w:szCs w:val="26"/>
        </w:rPr>
        <w:t xml:space="preserve">Годовой отчет ПАО «Россети Юг» (далее - Общество) за 2024 год составлен в соответствии с принципами интегрированной отчетности Международного совета по интегрированной отчетности (IIRC). </w:t>
      </w:r>
    </w:p>
    <w:p>
      <w:pPr>
        <w:pStyle w:val="Normal"/>
        <w:suppressLineNumbers w:val="0"/>
        <w:spacing w:lineRule="auto" w:line="276" w:before="0"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eastAsia="Times New Roman" w:cs="Times New Roman" w:ascii="Times New Roman" w:hAnsi="Times New Roman"/>
          <w:sz w:val="26"/>
          <w:szCs w:val="26"/>
        </w:rPr>
        <w:t>Годовой отчет Общества содержит сведения, предусмотренные Положением Банка России от 27.03.2020 № 714-П «О раскрытии информации эмитентами эмиссионных ценных бумаг», Информационным письмом Банка России от 27.12.2021 № ИН-06-28/102 «О раскрытии в годовом отчете публичного акционерного общества отчета о соблюдении принципов и рекомендаций Кодекса корпоративного управления», Положением об информационной политике ПАО «Россети Юг», утвержденным решением Совета директоров Общества 16.03.2022 (протокол 18.03.2022  №470/2022).</w:t>
      </w:r>
    </w:p>
    <w:p>
      <w:pPr>
        <w:pStyle w:val="Normal"/>
        <w:suppressLineNumbers w:val="0"/>
        <w:spacing w:lineRule="auto" w:line="276" w:before="0"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eastAsia="Times New Roman" w:cs="Times New Roman" w:ascii="Times New Roman" w:hAnsi="Times New Roman"/>
          <w:sz w:val="26"/>
          <w:szCs w:val="26"/>
        </w:rPr>
        <w:t xml:space="preserve">Годовой отчет ПАО «Россети Юг» содержит информацию об акционерном обществе в соответствии с нормативными актами Российской Федерации и сводную информацию об основных производственных, финансовых и инвестиционных результатах ПАО «Россети Юг». </w:t>
      </w:r>
    </w:p>
    <w:p>
      <w:pPr>
        <w:pStyle w:val="Normal"/>
        <w:suppressLineNumbers w:val="0"/>
        <w:spacing w:lineRule="auto" w:line="276" w:before="0"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eastAsia="Times New Roman" w:cs="Times New Roman" w:ascii="Times New Roman" w:hAnsi="Times New Roman"/>
          <w:sz w:val="26"/>
          <w:szCs w:val="26"/>
        </w:rPr>
        <w:t>Приложения к годовому отчету включают годовую бухгалтерскую отчетность ПАО «Россети Юг» по РСБУ с положительным аудиторским заключением о достоверности бухгалтерской отчетности, консолидированную отчетность по МСФО с положительным аудиторским заключением о достоверности консолидированной финансовой отчетности, отчет о соблюдении принципов и рекомендаций Кодекса корпоративного управления, отчет о заключенных Обществом в 2024 году сделках, в совершении которых имеется заинтересованность, утвержденный Советом директоров Общества в соответствии с требованиями пункта 1.1. статьи 81 Закона.</w:t>
      </w:r>
    </w:p>
    <w:p>
      <w:pPr>
        <w:pStyle w:val="Normal"/>
        <w:suppressLineNumbers w:val="0"/>
        <w:spacing w:lineRule="auto" w:line="276" w:before="0"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eastAsia="Times New Roman" w:cs="Times New Roman" w:ascii="Times New Roman" w:hAnsi="Times New Roman"/>
          <w:sz w:val="26"/>
          <w:szCs w:val="26"/>
        </w:rPr>
        <w:t>Достоверность данных, содержащихся в Годовом отчете Общества за 2024 год, подтверждена Ревизионной комиссией Общества (протокол от 24.04.2025 №3).</w:t>
      </w:r>
    </w:p>
    <w:p>
      <w:pPr>
        <w:pStyle w:val="Normal"/>
        <w:suppressLineNumbers w:val="0"/>
        <w:spacing w:lineRule="auto" w:line="276" w:before="0" w:after="0"/>
        <w:ind w:firstLine="567" w:right="-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eastAsia="Times New Roman" w:cs="Times New Roman" w:ascii="Times New Roman" w:hAnsi="Times New Roman"/>
          <w:sz w:val="26"/>
          <w:szCs w:val="26"/>
        </w:rPr>
        <w:t xml:space="preserve">В соответствии с пунктом 4 статьи 88 </w:t>
      </w:r>
      <w:r>
        <w:rPr>
          <w:rFonts w:eastAsia="Times New Roman" w:cs="Times New Roman" w:ascii="Times New Roman" w:hAnsi="Times New Roman"/>
          <w:color w:val="000000"/>
          <w:sz w:val="26"/>
          <w:szCs w:val="26"/>
        </w:rPr>
        <w:t>Федерального закона от 26.12.1995 №208-ФЗ «Об акционерных обществах»</w:t>
      </w:r>
      <w:r>
        <w:rPr>
          <w:rFonts w:eastAsia="Times New Roman" w:cs="Times New Roman" w:ascii="Times New Roman" w:hAnsi="Times New Roman"/>
          <w:sz w:val="26"/>
          <w:szCs w:val="26"/>
        </w:rPr>
        <w:t>, пунктом 25.4. статьи 25 Устава ПАО «Россети Юг» годовой отчет Общества подлежит предварительному утверждению Советом директоров не позднее, чем за 30 дней до даты проведения годового Общего собрания акционеров.</w:t>
      </w:r>
    </w:p>
    <w:p>
      <w:pPr>
        <w:pStyle w:val="Normal"/>
        <w:suppressLineNumbers w:val="0"/>
        <w:spacing w:lineRule="auto" w:line="276" w:before="0"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eastAsia="Times New Roman" w:cs="Times New Roman" w:ascii="Times New Roman" w:hAnsi="Times New Roman"/>
          <w:sz w:val="26"/>
          <w:szCs w:val="26"/>
        </w:rPr>
        <w:t>Советом директоров ПАО «Россети Юг» 05.05.2025 (протокол от 06.05.2025 №617/2025) было принято решение о предварительном утверждении годового отчета Общества за 2024 год.</w:t>
      </w:r>
    </w:p>
    <w:p>
      <w:pPr>
        <w:pStyle w:val="Normal"/>
        <w:suppressLineNumbers w:val="0"/>
        <w:spacing w:lineRule="auto" w:line="276" w:before="0"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suppressLineNumbers w:val="0"/>
        <w:spacing w:lineRule="auto" w:line="276" w:before="0" w:after="0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eastAsia="Times New Roman" w:cs="Times New Roman" w:ascii="Times New Roman" w:hAnsi="Times New Roman"/>
          <w:bCs/>
          <w:sz w:val="26"/>
          <w:szCs w:val="26"/>
        </w:rPr>
        <w:t>В соответствии с п. 10.4. ст. 10 Устава Общества решение по данному вопросу принимается большинством голосов акционеров – владельцев голосующих акций Общества, принимающих участие в собрании.</w:t>
      </w:r>
    </w:p>
    <w:p>
      <w:pPr>
        <w:pStyle w:val="Normal"/>
        <w:suppressLineNumbers w:val="0"/>
        <w:spacing w:lineRule="auto" w:line="276" w:before="0"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eastAsia="Times New Roman" w:cs="Times New Roman" w:ascii="Times New Roman" w:hAnsi="Times New Roman"/>
          <w:sz w:val="26"/>
          <w:szCs w:val="26"/>
        </w:rPr>
        <w:t>С учетом изложенного, Общему собранию акционеров ПАО «Россети Юг» предлагается принять решение по указанному вопросу.</w:t>
      </w:r>
    </w:p>
    <w:p>
      <w:pPr>
        <w:pStyle w:val="Normal"/>
        <w:suppressLineNumbers w:val="0"/>
        <w:spacing w:lineRule="auto" w:line="276" w:before="0"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suppressLineNumbers w:val="0"/>
        <w:spacing w:lineRule="auto" w:line="276" w:before="0"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eastAsia="Times New Roman" w:cs="Times New Roman" w:ascii="Times New Roman" w:hAnsi="Times New Roman"/>
          <w:b/>
          <w:sz w:val="26"/>
          <w:szCs w:val="26"/>
          <w:u w:val="single"/>
        </w:rPr>
        <w:t>ПРОЕКТ РЕШЕНИЯ</w:t>
      </w:r>
      <w:r>
        <w:rPr>
          <w:rFonts w:eastAsia="Times New Roman" w:cs="Times New Roman" w:ascii="Times New Roman" w:hAnsi="Times New Roman"/>
          <w:sz w:val="26"/>
          <w:szCs w:val="26"/>
        </w:rPr>
        <w:t>:</w:t>
      </w:r>
    </w:p>
    <w:p>
      <w:pPr>
        <w:pStyle w:val="Normal"/>
        <w:suppressLineNumbers w:val="0"/>
        <w:spacing w:lineRule="auto" w:line="276" w:before="0"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eastAsia="Times New Roman" w:cs="Times New Roman" w:ascii="Times New Roman" w:hAnsi="Times New Roman"/>
          <w:sz w:val="26"/>
          <w:szCs w:val="26"/>
        </w:rPr>
        <w:t>Утвердить годовой отчет ПАО «Россети Юг» за 2024 год, согласно приложению, размещенному на официальном сайте Общества в сети Интернет по адресу https://</w:t>
      </w:r>
      <w:r>
        <w:rPr>
          <w:rFonts w:eastAsia="Times New Roman" w:cs="Times New Roman" w:ascii="Times New Roman" w:hAnsi="Times New Roman"/>
          <w:sz w:val="26"/>
          <w:szCs w:val="26"/>
          <w:lang w:val="en-US"/>
        </w:rPr>
        <w:t>rosseti</w:t>
      </w:r>
      <w:r>
        <w:rPr>
          <w:rFonts w:eastAsia="Times New Roman" w:cs="Times New Roman" w:ascii="Times New Roman" w:hAnsi="Times New Roman"/>
          <w:sz w:val="26"/>
          <w:szCs w:val="26"/>
        </w:rPr>
        <w:t>-</w:t>
      </w:r>
      <w:r>
        <w:rPr>
          <w:rFonts w:eastAsia="Times New Roman" w:cs="Times New Roman" w:ascii="Times New Roman" w:hAnsi="Times New Roman"/>
          <w:sz w:val="26"/>
          <w:szCs w:val="26"/>
          <w:lang w:val="en-US"/>
        </w:rPr>
        <w:t>yug</w:t>
      </w:r>
      <w:r>
        <w:rPr>
          <w:rFonts w:eastAsia="Times New Roman" w:cs="Times New Roman" w:ascii="Times New Roman" w:hAnsi="Times New Roman"/>
          <w:sz w:val="26"/>
          <w:szCs w:val="26"/>
        </w:rPr>
        <w:t>.ru/aktsioneru-investoru/gosa-10-06-2025/.</w:t>
      </w:r>
    </w:p>
    <w:p>
      <w:pPr>
        <w:pStyle w:val="Normal"/>
        <w:suppressLineNumbers w:val="0"/>
        <w:spacing w:lineRule="auto" w:line="276" w:before="0"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sectPr>
      <w:headerReference w:type="even" r:id="rId3"/>
      <w:headerReference w:type="default" r:id="rId4"/>
      <w:headerReference w:type="first" r:id="rId5"/>
      <w:type w:val="nextPage"/>
      <w:pgSz w:w="11906" w:h="16838"/>
      <w:pgMar w:left="1701" w:right="850" w:gutter="0" w:header="709" w:top="1417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swiss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ind w:left="2977"/>
      <w:jc w:val="center"/>
      <w:rPr>
        <w:i/>
        <w:i/>
      </w:rPr>
    </w:pPr>
    <w:r>
      <w:rPr>
        <w:i/>
      </w:rPr>
      <w:t>Публичное акционерное общество «Россети Юг»</w:t>
    </w:r>
  </w:p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ind w:left="2977"/>
      <w:jc w:val="center"/>
      <w:rPr>
        <w:i/>
        <w:i/>
      </w:rPr>
    </w:pPr>
    <w:r>
      <w:rPr>
        <w:i/>
      </w:rPr>
      <w:t>Публичное акционерное общество «Россети Юг»</w:t>
    </w:r>
  </w:p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Autospacing="0" w:before="0" w:afterAutospacing="0" w:after="200"/>
      <w:jc w:val="left"/>
    </w:pPr>
    <w:rPr>
      <w:rFonts w:ascii="Arial" w:hAnsi="Arial" w:eastAsia="Arial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Heading2">
    <w:name w:val="heading 2"/>
    <w:basedOn w:val="Normal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Heading3">
    <w:name w:val="heading 3"/>
    <w:basedOn w:val="Normal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Heading4">
    <w:name w:val="heading 4"/>
    <w:basedOn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Heading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Heading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uiPriority w:val="10"/>
    <w:qFormat/>
    <w:rPr>
      <w:sz w:val="48"/>
      <w:szCs w:val="48"/>
    </w:rPr>
  </w:style>
  <w:style w:type="character" w:styleId="SubtitleChar">
    <w:name w:val="Subtitle Char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uiPriority w:val="99"/>
    <w:qFormat/>
    <w:rPr/>
  </w:style>
  <w:style w:type="character" w:styleId="FooterChar">
    <w:name w:val="Footer Char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Hyperlink">
    <w:name w:val="Hyperlink"/>
    <w:uiPriority w:val="99"/>
    <w:unhideWhenUsed/>
    <w:rPr>
      <w:color w:themeColor="hyperlink" w:val="0000FF"/>
      <w:u w:val="single"/>
    </w:rPr>
  </w:style>
  <w:style w:type="character" w:styleId="FootnoteTextChar">
    <w:name w:val="Footnote Text Char"/>
    <w:uiPriority w:val="99"/>
    <w:qFormat/>
    <w:rPr>
      <w:sz w:val="18"/>
    </w:rPr>
  </w:style>
  <w:style w:type="character" w:styleId="Style5">
    <w:name w:val="Символ сноски"/>
    <w:uiPriority w:val="99"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6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uiPriority w:val="35"/>
    <w:semiHidden/>
    <w:unhideWhenUsed/>
    <w:qFormat/>
    <w:pPr>
      <w:spacing w:lineRule="auto" w:line="276"/>
    </w:pPr>
    <w:rPr>
      <w:b/>
      <w:bCs/>
      <w:color w:themeColor="accent1" w:val="4F81BD"/>
      <w:sz w:val="18"/>
      <w:szCs w:val="18"/>
    </w:rPr>
  </w:style>
  <w:style w:type="paragraph" w:styleId="Style8">
    <w:name w:val="Указатель"/>
    <w:basedOn w:val="Normal"/>
    <w:qFormat/>
    <w:pPr>
      <w:suppressLineNumbers/>
    </w:pPr>
    <w:rPr>
      <w:rFonts w:cs="Noto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Noto Sans"/>
    </w:rPr>
  </w:style>
  <w:style w:type="paragraph" w:styleId="Title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uiPriority w:val="29"/>
    <w:qFormat/>
    <w:pPr>
      <w:ind w:left="720" w:right="72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200"/>
      <w:ind w:left="720" w:right="720"/>
    </w:pPr>
    <w:rPr>
      <w:i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er">
    <w:name w:val="foot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noteText">
    <w:name w:val="footnote text"/>
    <w:basedOn w:val="Normal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TOC1">
    <w:name w:val="toc 1"/>
    <w:basedOn w:val="Normal"/>
    <w:uiPriority w:val="39"/>
    <w:unhideWhenUsed/>
    <w:pPr>
      <w:spacing w:before="0" w:after="57"/>
      <w:ind w:hanging="0" w:left="0" w:right="0"/>
    </w:pPr>
    <w:rPr/>
  </w:style>
  <w:style w:type="paragraph" w:styleId="TOC2">
    <w:name w:val="toc 2"/>
    <w:basedOn w:val="Normal"/>
    <w:uiPriority w:val="39"/>
    <w:unhideWhenUsed/>
    <w:pPr>
      <w:spacing w:before="0" w:after="57"/>
      <w:ind w:hanging="0" w:left="283" w:right="0"/>
    </w:pPr>
    <w:rPr/>
  </w:style>
  <w:style w:type="paragraph" w:styleId="TOC3">
    <w:name w:val="toc 3"/>
    <w:basedOn w:val="Normal"/>
    <w:uiPriority w:val="39"/>
    <w:unhideWhenUsed/>
    <w:pPr>
      <w:spacing w:before="0" w:after="57"/>
      <w:ind w:hanging="0" w:left="567" w:right="0"/>
    </w:pPr>
    <w:rPr/>
  </w:style>
  <w:style w:type="paragraph" w:styleId="TOC4">
    <w:name w:val="toc 4"/>
    <w:basedOn w:val="Normal"/>
    <w:uiPriority w:val="39"/>
    <w:unhideWhenUsed/>
    <w:pPr>
      <w:spacing w:before="0" w:after="57"/>
      <w:ind w:hanging="0" w:left="850" w:right="0"/>
    </w:pPr>
    <w:rPr/>
  </w:style>
  <w:style w:type="paragraph" w:styleId="TOC5">
    <w:name w:val="toc 5"/>
    <w:basedOn w:val="Normal"/>
    <w:uiPriority w:val="39"/>
    <w:unhideWhenUsed/>
    <w:pPr>
      <w:spacing w:before="0" w:after="57"/>
      <w:ind w:hanging="0" w:left="1134" w:right="0"/>
    </w:pPr>
    <w:rPr/>
  </w:style>
  <w:style w:type="paragraph" w:styleId="TOC6">
    <w:name w:val="toc 6"/>
    <w:basedOn w:val="Normal"/>
    <w:uiPriority w:val="39"/>
    <w:unhideWhenUsed/>
    <w:pPr>
      <w:spacing w:before="0" w:after="57"/>
      <w:ind w:hanging="0" w:left="1417" w:right="0"/>
    </w:pPr>
    <w:rPr/>
  </w:style>
  <w:style w:type="paragraph" w:styleId="TOC7">
    <w:name w:val="toc 7"/>
    <w:basedOn w:val="Normal"/>
    <w:uiPriority w:val="39"/>
    <w:unhideWhenUsed/>
    <w:pPr>
      <w:spacing w:before="0" w:after="57"/>
      <w:ind w:hanging="0" w:left="1701" w:right="0"/>
    </w:pPr>
    <w:rPr/>
  </w:style>
  <w:style w:type="paragraph" w:styleId="TOC8">
    <w:name w:val="toc 8"/>
    <w:basedOn w:val="Normal"/>
    <w:uiPriority w:val="39"/>
    <w:unhideWhenUsed/>
    <w:pPr>
      <w:spacing w:before="0" w:after="57"/>
      <w:ind w:hanging="0" w:left="1984" w:right="0"/>
    </w:pPr>
    <w:rPr/>
  </w:style>
  <w:style w:type="paragraph" w:styleId="TOC9">
    <w:name w:val="toc 9"/>
    <w:basedOn w:val="Normal"/>
    <w:uiPriority w:val="39"/>
    <w:unhideWhenUsed/>
    <w:pPr>
      <w:spacing w:before="0" w:after="57"/>
      <w:ind w:hanging="0" w:left="2268" w:right="0"/>
    </w:pPr>
    <w:rPr/>
  </w:style>
  <w:style w:type="paragraph" w:styleId="IndexHeading">
    <w:name w:val="index heading"/>
    <w:basedOn w:val="user"/>
    <w:pPr/>
    <w:rPr/>
  </w:style>
  <w:style w:type="paragraph" w:styleId="TOCHeading">
    <w:name w:val="TOC Heading"/>
    <w:uiPriority w:val="39"/>
    <w:unhideWhenUsed/>
    <w:qFormat/>
    <w:pPr>
      <w:widowControl/>
      <w:suppressAutoHyphens w:val="true"/>
      <w:bidi w:val="0"/>
      <w:spacing w:lineRule="auto" w:line="276" w:beforeAutospacing="0" w:before="0" w:afterAutospacing="0" w:after="200"/>
      <w:jc w:val="left"/>
    </w:pPr>
    <w:rPr>
      <w:rFonts w:ascii="Arial" w:hAnsi="Arial" w:eastAsia="Arial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ableofFigures">
    <w:name w:val="table of figures"/>
    <w:basedOn w:val="Normal"/>
    <w:uiPriority w:val="99"/>
    <w:unhideWhenUsed/>
    <w:pPr>
      <w:spacing w:before="0" w:afterAutospacing="0" w:after="0"/>
    </w:pPr>
    <w:rPr/>
  </w:style>
  <w:style w:type="paragraph" w:styleId="NoSpacing">
    <w:name w:val="No Spacing"/>
    <w:basedOn w:val="Normal"/>
    <w:uiPriority w:val="1"/>
    <w:qFormat/>
    <w:pPr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pPr>
      <w:spacing w:before="0" w:after="200"/>
      <w:ind w:left="720"/>
      <w:contextualSpacing/>
    </w:pPr>
    <w:rPr/>
  </w:style>
  <w:style w:type="numbering" w:styleId="Style9" w:default="1">
    <w:name w:val="Без списка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New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 pitchFamily="0" charset="1"/>
        <a:ea typeface="Arial" pitchFamily="0" charset="1"/>
        <a:cs typeface="Arial" pitchFamily="0" charset="1"/>
      </a:majorFont>
      <a:minorFont>
        <a:latin typeface="Arial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6350" cap="flat" cmpd="sng" algn="ctr"/>
        <a:ln w="12700" cap="flat" cmpd="sng" algn="ctr"/>
        <a:ln w="19050" cap="flat" cmpd="sng" algn="ctr"/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0" t="0" r="0" b="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0" t="0" r="0" b="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Application>LibreOffice/24.8.5.2$Linux_X86_64 LibreOffice_project/480$Build-2</Application>
  <AppVersion>15.0000</AppVersion>
  <Pages>2</Pages>
  <Words>407</Words>
  <Characters>2840</Characters>
  <CharactersWithSpaces>3235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dcterms:modified xsi:type="dcterms:W3CDTF">2025-05-19T17:16:18Z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